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ED" w:rsidRDefault="00A46DDF">
      <w:r>
        <w:t>IMPERATIVO INFORMALE (tu)</w:t>
      </w:r>
    </w:p>
    <w:p w:rsidR="00A46DDF" w:rsidRDefault="00A46D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6"/>
        <w:gridCol w:w="2554"/>
        <w:gridCol w:w="2356"/>
        <w:gridCol w:w="2356"/>
      </w:tblGrid>
      <w:tr w:rsidR="00A46DDF" w:rsidTr="00A46DDF">
        <w:tc>
          <w:tcPr>
            <w:tcW w:w="2356" w:type="dxa"/>
          </w:tcPr>
          <w:p w:rsidR="00A46DDF" w:rsidRDefault="00A46DDF"/>
        </w:tc>
        <w:tc>
          <w:tcPr>
            <w:tcW w:w="2554" w:type="dxa"/>
          </w:tcPr>
          <w:p w:rsidR="00A46DDF" w:rsidRDefault="00A46DDF">
            <w:r>
              <w:t>1° gruppo -</w:t>
            </w:r>
            <w:r w:rsidRPr="00A46DDF">
              <w:rPr>
                <w:color w:val="FF0000"/>
              </w:rPr>
              <w:t xml:space="preserve"> ARE</w:t>
            </w:r>
          </w:p>
        </w:tc>
        <w:tc>
          <w:tcPr>
            <w:tcW w:w="2356" w:type="dxa"/>
          </w:tcPr>
          <w:p w:rsidR="00A46DDF" w:rsidRDefault="00A46DDF">
            <w:r>
              <w:t xml:space="preserve">2° gruppo </w:t>
            </w:r>
            <w:r w:rsidRPr="00A46DDF">
              <w:rPr>
                <w:color w:val="2E74B5" w:themeColor="accent5" w:themeShade="BF"/>
              </w:rPr>
              <w:t>-ERE</w:t>
            </w:r>
          </w:p>
        </w:tc>
        <w:tc>
          <w:tcPr>
            <w:tcW w:w="2356" w:type="dxa"/>
          </w:tcPr>
          <w:p w:rsidR="00A46DDF" w:rsidRDefault="00A46DDF">
            <w:r>
              <w:t xml:space="preserve">3° gruppo </w:t>
            </w:r>
            <w:r w:rsidRPr="00A46DDF">
              <w:rPr>
                <w:color w:val="538135" w:themeColor="accent6" w:themeShade="BF"/>
              </w:rPr>
              <w:t>-IRE</w:t>
            </w:r>
          </w:p>
        </w:tc>
      </w:tr>
      <w:tr w:rsidR="00A46DDF" w:rsidTr="00A46DDF">
        <w:tc>
          <w:tcPr>
            <w:tcW w:w="2356" w:type="dxa"/>
          </w:tcPr>
          <w:p w:rsidR="00A46DDF" w:rsidRDefault="00A46DDF">
            <w:r>
              <w:t>Forma affermativa</w:t>
            </w:r>
          </w:p>
        </w:tc>
        <w:tc>
          <w:tcPr>
            <w:tcW w:w="2554" w:type="dxa"/>
          </w:tcPr>
          <w:p w:rsidR="00A46DDF" w:rsidRDefault="00A46DDF">
            <w:r>
              <w:t>port</w:t>
            </w:r>
            <w:r w:rsidRPr="00A46DDF">
              <w:rPr>
                <w:color w:val="FF0000"/>
              </w:rPr>
              <w:t>a</w:t>
            </w:r>
          </w:p>
        </w:tc>
        <w:tc>
          <w:tcPr>
            <w:tcW w:w="2356" w:type="dxa"/>
          </w:tcPr>
          <w:p w:rsidR="00A46DDF" w:rsidRDefault="00A46DDF">
            <w:r>
              <w:t>prend</w:t>
            </w:r>
            <w:r w:rsidRPr="00A46DDF">
              <w:rPr>
                <w:color w:val="0070C0"/>
              </w:rPr>
              <w:t>i</w:t>
            </w:r>
          </w:p>
        </w:tc>
        <w:tc>
          <w:tcPr>
            <w:tcW w:w="2356" w:type="dxa"/>
          </w:tcPr>
          <w:p w:rsidR="00A46DDF" w:rsidRDefault="00A46DDF">
            <w:r>
              <w:t>dorm</w:t>
            </w:r>
            <w:r w:rsidRPr="00A46DDF">
              <w:rPr>
                <w:color w:val="538135" w:themeColor="accent6" w:themeShade="BF"/>
              </w:rPr>
              <w:t>i</w:t>
            </w:r>
          </w:p>
        </w:tc>
      </w:tr>
      <w:tr w:rsidR="00A46DDF" w:rsidTr="00A46DDF">
        <w:tc>
          <w:tcPr>
            <w:tcW w:w="2356" w:type="dxa"/>
          </w:tcPr>
          <w:p w:rsidR="00A46DDF" w:rsidRDefault="00A46DDF">
            <w:r>
              <w:t>Forma negativa</w:t>
            </w:r>
          </w:p>
        </w:tc>
        <w:tc>
          <w:tcPr>
            <w:tcW w:w="2554" w:type="dxa"/>
          </w:tcPr>
          <w:p w:rsidR="00A46DDF" w:rsidRDefault="00A46DDF">
            <w:r>
              <w:t>non portare</w:t>
            </w:r>
          </w:p>
        </w:tc>
        <w:tc>
          <w:tcPr>
            <w:tcW w:w="2356" w:type="dxa"/>
          </w:tcPr>
          <w:p w:rsidR="00A46DDF" w:rsidRDefault="00A46DDF">
            <w:r>
              <w:t>non prendere</w:t>
            </w:r>
          </w:p>
        </w:tc>
        <w:tc>
          <w:tcPr>
            <w:tcW w:w="2356" w:type="dxa"/>
          </w:tcPr>
          <w:p w:rsidR="00A46DDF" w:rsidRDefault="00A46DDF">
            <w:r>
              <w:t>non dormire</w:t>
            </w:r>
          </w:p>
        </w:tc>
      </w:tr>
    </w:tbl>
    <w:p w:rsidR="00A46DDF" w:rsidRDefault="00A46DDF"/>
    <w:p w:rsidR="00A46DDF" w:rsidRDefault="00A46DDF">
      <w:r>
        <w:t xml:space="preserve">Alcuni verbi irregolari :  </w:t>
      </w:r>
    </w:p>
    <w:p w:rsidR="00A46DDF" w:rsidRDefault="00A46DDF">
      <w:r>
        <w:t xml:space="preserve">andare </w:t>
      </w:r>
      <w:r>
        <w:sym w:font="Wingdings" w:char="F0E0"/>
      </w:r>
      <w:r>
        <w:t xml:space="preserve"> va’, </w:t>
      </w:r>
    </w:p>
    <w:p w:rsidR="00A46DDF" w:rsidRDefault="00A46DDF">
      <w:r>
        <w:t xml:space="preserve">fare </w:t>
      </w:r>
      <w:r>
        <w:sym w:font="Wingdings" w:char="F0E0"/>
      </w:r>
      <w:r>
        <w:t xml:space="preserve"> fa, </w:t>
      </w:r>
    </w:p>
    <w:p w:rsidR="00A46DDF" w:rsidRDefault="00A46DDF">
      <w:r>
        <w:t xml:space="preserve">dare </w:t>
      </w:r>
      <w:r>
        <w:sym w:font="Wingdings" w:char="F0E0"/>
      </w:r>
      <w:r>
        <w:t xml:space="preserve"> dà, </w:t>
      </w:r>
    </w:p>
    <w:p w:rsidR="00A46DDF" w:rsidRDefault="00A46DDF">
      <w:r>
        <w:t xml:space="preserve">dire </w:t>
      </w:r>
      <w:r>
        <w:sym w:font="Wingdings" w:char="F0E0"/>
      </w:r>
      <w:r>
        <w:t xml:space="preserve"> dì, </w:t>
      </w:r>
    </w:p>
    <w:p w:rsidR="00A46DDF" w:rsidRDefault="00A46DDF">
      <w:r>
        <w:t xml:space="preserve">stare </w:t>
      </w:r>
      <w:r>
        <w:sym w:font="Wingdings" w:char="F0E0"/>
      </w:r>
      <w:r>
        <w:t xml:space="preserve"> sta</w:t>
      </w:r>
    </w:p>
    <w:p w:rsidR="00A46DDF" w:rsidRDefault="00A46DDF"/>
    <w:p w:rsidR="00A46DDF" w:rsidRDefault="00A46DDF">
      <w:r>
        <w:t>Alla forma affermativa, il pronome complemento COD “si attacca” al verbo : porta</w:t>
      </w:r>
      <w:r w:rsidRPr="00A46DDF">
        <w:rPr>
          <w:i/>
        </w:rPr>
        <w:t>lo</w:t>
      </w:r>
      <w:r>
        <w:t xml:space="preserve"> dal dottore</w:t>
      </w:r>
    </w:p>
    <w:p w:rsidR="00A46DDF" w:rsidRDefault="00A46DDF">
      <w:r>
        <w:t>Alla forma negativa, il pronome complemento COI può attaccarsi al verbo o precederlo : non chieder</w:t>
      </w:r>
      <w:r w:rsidRPr="00A46DDF">
        <w:rPr>
          <w:i/>
        </w:rPr>
        <w:t>mi</w:t>
      </w:r>
      <w:r>
        <w:t xml:space="preserve"> perché / non </w:t>
      </w:r>
      <w:r w:rsidRPr="00A46DDF">
        <w:rPr>
          <w:i/>
        </w:rPr>
        <w:t xml:space="preserve">mi </w:t>
      </w:r>
      <w:r>
        <w:t>chiedere perché</w:t>
      </w:r>
    </w:p>
    <w:p w:rsidR="00A46DDF" w:rsidRDefault="00A46DDF"/>
    <w:p w:rsidR="00A46DDF" w:rsidRDefault="00A46DDF">
      <w:r>
        <w:t>IMPERATIVO FORMALE (lei)</w:t>
      </w:r>
    </w:p>
    <w:p w:rsidR="00A46DDF" w:rsidRDefault="00A46D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6"/>
        <w:gridCol w:w="2554"/>
        <w:gridCol w:w="2356"/>
        <w:gridCol w:w="2356"/>
      </w:tblGrid>
      <w:tr w:rsidR="00A46DDF" w:rsidTr="00EF1A58">
        <w:tc>
          <w:tcPr>
            <w:tcW w:w="2356" w:type="dxa"/>
          </w:tcPr>
          <w:p w:rsidR="00A46DDF" w:rsidRDefault="00A46DDF" w:rsidP="00EF1A58"/>
        </w:tc>
        <w:tc>
          <w:tcPr>
            <w:tcW w:w="2554" w:type="dxa"/>
          </w:tcPr>
          <w:p w:rsidR="00A46DDF" w:rsidRDefault="00A46DDF" w:rsidP="00EF1A58">
            <w:r>
              <w:t>1° gruppo -</w:t>
            </w:r>
            <w:r w:rsidRPr="00A46DDF">
              <w:rPr>
                <w:color w:val="FF0000"/>
              </w:rPr>
              <w:t xml:space="preserve"> ARE</w:t>
            </w:r>
          </w:p>
        </w:tc>
        <w:tc>
          <w:tcPr>
            <w:tcW w:w="2356" w:type="dxa"/>
          </w:tcPr>
          <w:p w:rsidR="00A46DDF" w:rsidRDefault="00A46DDF" w:rsidP="00EF1A58">
            <w:r>
              <w:t xml:space="preserve">2° gruppo </w:t>
            </w:r>
            <w:r w:rsidRPr="00A46DDF">
              <w:rPr>
                <w:color w:val="2E74B5" w:themeColor="accent5" w:themeShade="BF"/>
              </w:rPr>
              <w:t>-ERE</w:t>
            </w:r>
          </w:p>
        </w:tc>
        <w:tc>
          <w:tcPr>
            <w:tcW w:w="2356" w:type="dxa"/>
          </w:tcPr>
          <w:p w:rsidR="00A46DDF" w:rsidRDefault="00A46DDF" w:rsidP="00EF1A58">
            <w:r>
              <w:t xml:space="preserve">3° gruppo </w:t>
            </w:r>
            <w:r w:rsidRPr="00A46DDF">
              <w:rPr>
                <w:color w:val="538135" w:themeColor="accent6" w:themeShade="BF"/>
              </w:rPr>
              <w:t>-IRE</w:t>
            </w:r>
          </w:p>
        </w:tc>
      </w:tr>
      <w:tr w:rsidR="00A46DDF" w:rsidTr="00EF1A58">
        <w:tc>
          <w:tcPr>
            <w:tcW w:w="2356" w:type="dxa"/>
          </w:tcPr>
          <w:p w:rsidR="00A46DDF" w:rsidRDefault="00A46DDF" w:rsidP="00EF1A58">
            <w:r>
              <w:t>Forma negativa</w:t>
            </w:r>
          </w:p>
        </w:tc>
        <w:tc>
          <w:tcPr>
            <w:tcW w:w="2554" w:type="dxa"/>
          </w:tcPr>
          <w:p w:rsidR="00A46DDF" w:rsidRDefault="00A46DDF" w:rsidP="00EF1A58">
            <w:r>
              <w:t>port</w:t>
            </w:r>
            <w:r>
              <w:rPr>
                <w:color w:val="FF0000"/>
              </w:rPr>
              <w:t>i</w:t>
            </w:r>
          </w:p>
        </w:tc>
        <w:tc>
          <w:tcPr>
            <w:tcW w:w="2356" w:type="dxa"/>
          </w:tcPr>
          <w:p w:rsidR="00A46DDF" w:rsidRPr="00A46DDF" w:rsidRDefault="00A46DDF" w:rsidP="00EF1A58">
            <w:pPr>
              <w:rPr>
                <w:color w:val="0070C0"/>
              </w:rPr>
            </w:pPr>
            <w:r>
              <w:t>prend</w:t>
            </w:r>
            <w:r>
              <w:rPr>
                <w:color w:val="0070C0"/>
              </w:rPr>
              <w:t>a</w:t>
            </w:r>
          </w:p>
        </w:tc>
        <w:tc>
          <w:tcPr>
            <w:tcW w:w="2356" w:type="dxa"/>
          </w:tcPr>
          <w:p w:rsidR="00A46DDF" w:rsidRDefault="00A46DDF" w:rsidP="00EF1A58">
            <w:r>
              <w:t>dorm</w:t>
            </w:r>
            <w:r w:rsidR="004F2008">
              <w:rPr>
                <w:color w:val="00B050"/>
              </w:rPr>
              <w:t>a</w:t>
            </w:r>
            <w:bookmarkStart w:id="0" w:name="_GoBack"/>
            <w:bookmarkEnd w:id="0"/>
          </w:p>
        </w:tc>
      </w:tr>
      <w:tr w:rsidR="00A46DDF" w:rsidTr="00EF1A58">
        <w:tc>
          <w:tcPr>
            <w:tcW w:w="2356" w:type="dxa"/>
          </w:tcPr>
          <w:p w:rsidR="00A46DDF" w:rsidRDefault="00A46DDF" w:rsidP="00EF1A58">
            <w:r>
              <w:t>Forma negativa</w:t>
            </w:r>
          </w:p>
        </w:tc>
        <w:tc>
          <w:tcPr>
            <w:tcW w:w="2554" w:type="dxa"/>
          </w:tcPr>
          <w:p w:rsidR="00A46DDF" w:rsidRDefault="00A46DDF" w:rsidP="00EF1A58">
            <w:r>
              <w:t>non port</w:t>
            </w:r>
            <w:r w:rsidRPr="00A46DDF">
              <w:rPr>
                <w:color w:val="FF0000"/>
              </w:rPr>
              <w:t>i</w:t>
            </w:r>
          </w:p>
        </w:tc>
        <w:tc>
          <w:tcPr>
            <w:tcW w:w="2356" w:type="dxa"/>
          </w:tcPr>
          <w:p w:rsidR="00A46DDF" w:rsidRDefault="00A46DDF" w:rsidP="00EF1A58">
            <w:r>
              <w:t>non prend</w:t>
            </w:r>
            <w:r w:rsidRPr="00A46DDF">
              <w:rPr>
                <w:color w:val="0070C0"/>
              </w:rPr>
              <w:t>a</w:t>
            </w:r>
          </w:p>
        </w:tc>
        <w:tc>
          <w:tcPr>
            <w:tcW w:w="2356" w:type="dxa"/>
          </w:tcPr>
          <w:p w:rsidR="00A46DDF" w:rsidRDefault="00A46DDF" w:rsidP="00EF1A58">
            <w:r>
              <w:t>non dorm</w:t>
            </w:r>
            <w:r w:rsidRPr="00A46DDF">
              <w:rPr>
                <w:color w:val="00B050"/>
              </w:rPr>
              <w:t>a</w:t>
            </w:r>
          </w:p>
        </w:tc>
      </w:tr>
    </w:tbl>
    <w:p w:rsidR="00A46DDF" w:rsidRDefault="00A46DDF"/>
    <w:p w:rsidR="00A46DDF" w:rsidRDefault="00A46DDF">
      <w:r>
        <w:t xml:space="preserve">Con l’imperativo formale il pronome va prima del verbo, sia nella forma affermativa che in quella negativa : </w:t>
      </w:r>
      <w:r w:rsidRPr="00A46DDF">
        <w:rPr>
          <w:i/>
        </w:rPr>
        <w:t>Mi</w:t>
      </w:r>
      <w:r>
        <w:t xml:space="preserve"> dia un suggerimento, non </w:t>
      </w:r>
      <w:r w:rsidRPr="00A46DDF">
        <w:rPr>
          <w:i/>
        </w:rPr>
        <w:t>mi</w:t>
      </w:r>
      <w:r>
        <w:t xml:space="preserve"> dica nulla</w:t>
      </w:r>
    </w:p>
    <w:sectPr w:rsidR="00A46DDF" w:rsidSect="00EC69E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DF"/>
    <w:rsid w:val="004F2008"/>
    <w:rsid w:val="008409AF"/>
    <w:rsid w:val="00A46DDF"/>
    <w:rsid w:val="00D05D1D"/>
    <w:rsid w:val="00EC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BE1B2"/>
  <w15:chartTrackingRefBased/>
  <w15:docId w15:val="{A587BF38-9C1F-D348-88E1-F1DCD90B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epod podetti</dc:creator>
  <cp:keywords/>
  <dc:description/>
  <cp:lastModifiedBy>epod podetti</cp:lastModifiedBy>
  <cp:revision>2</cp:revision>
  <dcterms:created xsi:type="dcterms:W3CDTF">2018-10-10T13:23:00Z</dcterms:created>
  <dcterms:modified xsi:type="dcterms:W3CDTF">2018-10-15T14:59:00Z</dcterms:modified>
</cp:coreProperties>
</file>